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1C" w:rsidRPr="008D151C" w:rsidRDefault="008D151C" w:rsidP="008D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D151C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8D151C" w:rsidRPr="008D151C" w:rsidRDefault="008D151C" w:rsidP="008D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8D151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8D151C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8D151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8D151C" w:rsidRPr="008D151C" w:rsidTr="008D151C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D15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8D15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8D15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8D15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8D15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8D151C" w:rsidRPr="008D151C" w:rsidRDefault="008D151C" w:rsidP="008D151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8D151C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8D151C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8D151C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8D151C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8D151C">
        <w:rPr>
          <w:rFonts w:ascii="Times New Roman" w:eastAsia="Times New Roman" w:hAnsi="Times New Roman" w:cs="Tahoma"/>
          <w:lang w:eastAsia="ja-JP" w:bidi="fa-IR"/>
        </w:rPr>
        <w:t>7</w:t>
      </w:r>
      <w:r w:rsidRPr="008D151C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8D151C" w:rsidRPr="008D151C" w:rsidRDefault="008D151C" w:rsidP="008D151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8D151C" w:rsidRPr="008D151C" w:rsidRDefault="008D151C" w:rsidP="008D151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8D151C" w:rsidRPr="008D151C" w:rsidRDefault="008D151C" w:rsidP="008D151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8D151C">
        <w:rPr>
          <w:rFonts w:ascii="Times New Roman" w:eastAsia="Andale Sans UI" w:hAnsi="Times New Roman" w:cs="Tahoma"/>
          <w:b/>
          <w:kern w:val="3"/>
          <w:lang w:eastAsia="ja-JP" w:bidi="fa-IR"/>
        </w:rPr>
        <w:t>№ 51</w:t>
      </w:r>
    </w:p>
    <w:p w:rsidR="008D151C" w:rsidRPr="008D151C" w:rsidRDefault="008D151C" w:rsidP="008D151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8D151C" w:rsidRPr="008D151C" w:rsidRDefault="008D151C" w:rsidP="008D151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8D151C" w:rsidRPr="008D151C" w:rsidRDefault="008D151C" w:rsidP="008D151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Электроды</w:t>
      </w:r>
      <w:r w:rsidRPr="008D151C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D151C" w:rsidRPr="008D151C" w:rsidRDefault="008D151C" w:rsidP="008D151C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8D151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8D151C" w:rsidRPr="008D151C" w:rsidRDefault="008D151C" w:rsidP="008D151C">
      <w:pPr>
        <w:rPr>
          <w:rFonts w:ascii="Times New Roman" w:eastAsia="Calibri" w:hAnsi="Times New Roman" w:cs="Times New Roman"/>
          <w:noProof/>
          <w:lang w:eastAsia="ru-RU"/>
        </w:rPr>
      </w:pP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lastRenderedPageBreak/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1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256910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Электроды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1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lastRenderedPageBreak/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1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1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8D151C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7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1.8.</w:t>
            </w:r>
          </w:p>
        </w:tc>
        <w:tc>
          <w:tcPr>
            <w:tcW w:w="9072" w:type="dxa"/>
          </w:tcPr>
          <w:p w:rsidR="006C4840" w:rsidRPr="00EA1750" w:rsidRDefault="006C4840" w:rsidP="00256910">
            <w:pPr>
              <w:pStyle w:val="aff1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256910">
              <w:rPr>
                <w:rFonts w:ascii="Times New Roman" w:hAnsi="Times New Roman" w:cs="Times New Roman"/>
                <w:sz w:val="25"/>
                <w:szCs w:val="25"/>
              </w:rPr>
              <w:t>Электроды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2569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256910" w:rsidRPr="002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4 000 000,00 (четыре миллиона рублей 00 копеек</w:t>
            </w:r>
            <w:proofErr w:type="gramStart"/>
            <w:r w:rsidR="00256910" w:rsidRPr="002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);Без</w:t>
            </w:r>
            <w:proofErr w:type="gramEnd"/>
            <w:r w:rsidR="00256910" w:rsidRPr="0025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НДС: 3 389 830,50 (три миллиона триста восемьдесят девять тысяч восемьсот тридцать рублей 50 копеек)</w:t>
            </w:r>
            <w:r w:rsidR="00D22157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pPr w:leftFromText="180" w:rightFromText="180" w:vertAnchor="text" w:tblpX="-65" w:tblpY="1"/>
              <w:tblOverlap w:val="never"/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6"/>
              <w:gridCol w:w="2550"/>
              <w:gridCol w:w="26"/>
              <w:gridCol w:w="2244"/>
              <w:gridCol w:w="19"/>
            </w:tblGrid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АНО-21 3мм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123,44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104,61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АНО-21 4мм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117,70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99,74  руб. (1кг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2,6*350мм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409,38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346,93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2,6*350мм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409,38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346,93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3,2 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397,70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337,03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3,2 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397,70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337,03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 52 4мм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334,27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283,27 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ЛБ-52-2,6 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411,00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348,30  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МР3 3мм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113,33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96,04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МР3 4мм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106,72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90,44 руб. (1кг. без НДС)</w:t>
                  </w:r>
                </w:p>
              </w:tc>
            </w:tr>
            <w:tr w:rsidR="00256910" w:rsidRPr="00256910" w:rsidTr="00256910">
              <w:trPr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УОНИ 13/55 4мм</w:t>
                  </w:r>
                </w:p>
              </w:tc>
              <w:tc>
                <w:tcPr>
                  <w:tcW w:w="14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114,80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lastRenderedPageBreak/>
                    <w:t>НДС 18%)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lastRenderedPageBreak/>
                    <w:t>97,28 руб. (1кг. без НДС)</w:t>
                  </w:r>
                </w:p>
              </w:tc>
            </w:tr>
            <w:tr w:rsidR="00256910" w:rsidRPr="00256910" w:rsidTr="00256910">
              <w:trPr>
                <w:gridAfter w:val="1"/>
                <w:wAfter w:w="11" w:type="pct"/>
                <w:trHeight w:val="337"/>
              </w:trPr>
              <w:tc>
                <w:tcPr>
                  <w:tcW w:w="2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Электроды ЦЛ 11 3мм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910" w:rsidRPr="00256910" w:rsidRDefault="00256910" w:rsidP="0025691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672,21</w:t>
                  </w: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руб. (1кг. с учетом НДС 18%)</w:t>
                  </w:r>
                </w:p>
              </w:tc>
              <w:tc>
                <w:tcPr>
                  <w:tcW w:w="12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910" w:rsidRPr="00256910" w:rsidRDefault="00256910" w:rsidP="0025691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5691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569,66  руб. (1кг. без НДС)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4925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календарных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51C" w:rsidRPr="00376B6C">
              <w:rPr>
                <w:rFonts w:ascii="Times New Roman" w:eastAsia="Times New Roman" w:hAnsi="Times New Roman" w:cs="Times New Roman"/>
                <w:lang w:eastAsia="ru-RU"/>
              </w:rPr>
              <w:t>С НДС 18%: 4 000 000,00 (четыре миллиона рублей 00 копеек</w:t>
            </w:r>
            <w:proofErr w:type="gramStart"/>
            <w:r w:rsidR="008D151C" w:rsidRPr="00376B6C">
              <w:rPr>
                <w:rFonts w:ascii="Times New Roman" w:eastAsia="Times New Roman" w:hAnsi="Times New Roman" w:cs="Times New Roman"/>
                <w:lang w:eastAsia="ru-RU"/>
              </w:rPr>
              <w:t>);Без</w:t>
            </w:r>
            <w:proofErr w:type="gramEnd"/>
            <w:r w:rsidR="008D151C" w:rsidRPr="00376B6C">
              <w:rPr>
                <w:rFonts w:ascii="Times New Roman" w:eastAsia="Times New Roman" w:hAnsi="Times New Roman" w:cs="Times New Roman"/>
                <w:lang w:eastAsia="ru-RU"/>
              </w:rPr>
              <w:t xml:space="preserve"> НДС: 3 389 830,50 (три миллиона триста восемьдесят девять тысяч восемьсот тридцать рублей 50 копеек)</w:t>
            </w:r>
            <w:r w:rsidR="00D22157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lastRenderedPageBreak/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- </w:t>
            </w: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1DA9C352" wp14:editId="14B6EC9F">
                  <wp:extent cx="36195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определяется по формуле: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30"/>
                <w:sz w:val="25"/>
                <w:szCs w:val="25"/>
                <w:lang w:eastAsia="ru-RU"/>
              </w:rPr>
              <w:lastRenderedPageBreak/>
              <w:drawing>
                <wp:inline distT="0" distB="0" distL="0" distR="0" wp14:anchorId="48A03C58" wp14:editId="4637D8BB">
                  <wp:extent cx="1181100" cy="501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49" cy="50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,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где: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678252D3" wp14:editId="0DB06124">
                  <wp:extent cx="209550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3" cy="2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предложение участника закупки, заявка (предложение) которого оценивается;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428B588D" wp14:editId="76D0F515">
                  <wp:extent cx="305023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" cy="2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)/(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)) x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рейтинг, присуждаемый i-й заявке по указанному критерию В;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максимальное значение критерия В, указанное в документации (360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минимальное значение критерия В, указанное в документации (60 календарных дней);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значение по критерию В, предложенное i-м участником в заявке;</w:t>
            </w:r>
          </w:p>
          <w:p w:rsidR="00CD7CBD" w:rsidRPr="00CD7CBD" w:rsidRDefault="00CD7CBD" w:rsidP="00763F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значимость критерия </w:t>
            </w:r>
            <w:proofErr w:type="gram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баллах.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066902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R=Ra(i)*0,30+Rc(i)*0,</w:t>
            </w:r>
            <w:r w:rsidR="00DD43C9"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итогов, порядок и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 xml:space="preserve">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lastRenderedPageBreak/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8D1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D1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сНДС</w:t>
            </w:r>
            <w:proofErr w:type="spellEnd"/>
            <w:r w:rsidR="008D1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</w:t>
      </w:r>
      <w:r w:rsidRPr="006344BF">
        <w:rPr>
          <w:rFonts w:ascii="Times New Roman" w:eastAsia="Calibri" w:hAnsi="Times New Roman" w:cs="Times New Roman"/>
          <w:szCs w:val="24"/>
        </w:rPr>
        <w:lastRenderedPageBreak/>
        <w:t>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случае, если доверенность на осуществление действий 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2.10. Качество Товара должно соответствовать ГОСТ (ТУ) и (или) другим условиям качества,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lastRenderedPageBreak/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lastRenderedPageBreak/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1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256910">
        <w:rPr>
          <w:rFonts w:ascii="Times New Roman" w:hAnsi="Times New Roman" w:cs="Times New Roman"/>
          <w:sz w:val="24"/>
          <w:szCs w:val="24"/>
        </w:rPr>
        <w:t>Электроды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3C2BBD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100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380"/>
        <w:gridCol w:w="1558"/>
        <w:gridCol w:w="567"/>
        <w:gridCol w:w="1133"/>
        <w:gridCol w:w="1558"/>
        <w:gridCol w:w="996"/>
        <w:gridCol w:w="1139"/>
      </w:tblGrid>
      <w:tr w:rsidR="00256910" w:rsidRPr="00256910" w:rsidTr="00166E4D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максимальная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(придельная) </w:t>
            </w: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договора</w:t>
            </w: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оплаты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поставки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АНО-21 3мм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партиями по заявкам покупателя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166E4D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10</w:t>
            </w:r>
            <w:r w:rsidR="00256910"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АНО-21 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2,6*350мм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2,6*350мм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3,2 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3,2 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 52 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ЛБ-52-2,6 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Электроды МГМ-50К ф3,0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МР3 3мм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МР3 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УОНИ 13/55 4мм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910" w:rsidRPr="00256910" w:rsidTr="00166E4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Электроды ЦЛ 11 3мм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10" w:rsidRPr="00256910" w:rsidRDefault="00256910" w:rsidP="0025691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910" w:rsidRPr="00256910" w:rsidRDefault="00256910" w:rsidP="0025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043D1" w:rsidRPr="005B1ADE" w:rsidRDefault="004043D1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bookmarkStart w:id="0" w:name="_GoBack"/>
      <w:bookmarkEnd w:id="0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 xml:space="preserve">Оплата по договору осуществляется безналичным расчётом на основании  платёжного поручения путём перечисления Заказчиком денежных средств на </w:t>
      </w:r>
      <w:r w:rsidRPr="006344BF">
        <w:rPr>
          <w:rFonts w:ascii="Times New Roman" w:hAnsi="Times New Roman"/>
          <w:bCs/>
          <w:sz w:val="25"/>
          <w:szCs w:val="25"/>
        </w:rPr>
        <w:lastRenderedPageBreak/>
        <w:t>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pPr w:leftFromText="180" w:rightFromText="180" w:vertAnchor="text" w:tblpX="-65" w:tblpY="1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2804"/>
        <w:gridCol w:w="2779"/>
        <w:gridCol w:w="27"/>
      </w:tblGrid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АНО-21 3мм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123,44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104,61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АНО-21 4мм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117,70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99,74  руб. (1кг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2,6*350мм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409,38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346,93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2,6*350мм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409,38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346,93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3,2 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397,70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337,03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3,2 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397,70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337,03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 52 4мм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334,27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283,27 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ЛБ-52-2,6 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411,00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348,30  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МР3 3мм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113,33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96,04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МР3 4мм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106,72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90,44 руб. (1кг. без НДС)</w:t>
            </w:r>
          </w:p>
        </w:tc>
      </w:tr>
      <w:tr w:rsidR="00166E4D" w:rsidRPr="00166E4D" w:rsidTr="00166E4D">
        <w:trPr>
          <w:gridAfter w:val="1"/>
          <w:wAfter w:w="14" w:type="pct"/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УОНИ 13/55 4мм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114,80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97,28 руб. (1кг. без НДС)</w:t>
            </w:r>
          </w:p>
        </w:tc>
      </w:tr>
      <w:tr w:rsidR="00166E4D" w:rsidRPr="00166E4D" w:rsidTr="00166E4D">
        <w:trPr>
          <w:trHeight w:val="3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ЦЛ 11 3мм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4D" w:rsidRPr="00166E4D" w:rsidRDefault="00166E4D" w:rsidP="001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672,21</w:t>
            </w: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 (1кг. с учетом НДС 18%)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4D" w:rsidRPr="00166E4D" w:rsidRDefault="00166E4D" w:rsidP="00166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6E4D">
              <w:rPr>
                <w:rFonts w:ascii="Times New Roman" w:eastAsia="Times New Roman" w:hAnsi="Times New Roman" w:cs="Times New Roman"/>
                <w:i/>
                <w:lang w:eastAsia="ru-RU"/>
              </w:rPr>
              <w:t>569,66  руб. (1кг. без НДС)</w:t>
            </w:r>
          </w:p>
        </w:tc>
      </w:tr>
    </w:tbl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7"/>
      <w:footerReference w:type="default" r:id="rId3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1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834385">
    <w:pPr>
      <w:pStyle w:val="af1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30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1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2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66E4D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56910"/>
    <w:rsid w:val="002631B9"/>
    <w:rsid w:val="00271ECF"/>
    <w:rsid w:val="002806F3"/>
    <w:rsid w:val="00286950"/>
    <w:rsid w:val="00291B3A"/>
    <w:rsid w:val="0029454C"/>
    <w:rsid w:val="002A3AF9"/>
    <w:rsid w:val="002B3780"/>
    <w:rsid w:val="002B3FFB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2BBD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92536"/>
    <w:rsid w:val="004A15BA"/>
    <w:rsid w:val="004A1FD6"/>
    <w:rsid w:val="004A2E9D"/>
    <w:rsid w:val="004B4CF3"/>
    <w:rsid w:val="004D33C4"/>
    <w:rsid w:val="004E3845"/>
    <w:rsid w:val="004E424D"/>
    <w:rsid w:val="004E4729"/>
    <w:rsid w:val="004F20DF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5CD8"/>
    <w:rsid w:val="00556EDF"/>
    <w:rsid w:val="00560EE8"/>
    <w:rsid w:val="0056224F"/>
    <w:rsid w:val="005642FA"/>
    <w:rsid w:val="005674CA"/>
    <w:rsid w:val="00570CA9"/>
    <w:rsid w:val="00576743"/>
    <w:rsid w:val="00586201"/>
    <w:rsid w:val="00590F40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2507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27903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34385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D151C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D267D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76E12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22157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E6956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663"/>
  <w15:docId w15:val="{2A9414D7-122E-420C-9DAB-4835B738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1"/>
    <w:next w:val="a1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1"/>
    <w:next w:val="a1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1"/>
    <w:next w:val="a1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2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1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1"/>
    <w:next w:val="a1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3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3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3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5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7">
    <w:name w:val="Hyperlink"/>
    <w:uiPriority w:val="99"/>
    <w:rsid w:val="006C4840"/>
    <w:rPr>
      <w:rFonts w:cs="Times New Roman"/>
      <w:color w:val="0000FF"/>
      <w:u w:val="single"/>
    </w:rPr>
  </w:style>
  <w:style w:type="paragraph" w:styleId="a8">
    <w:name w:val="Balloon Text"/>
    <w:basedOn w:val="a1"/>
    <w:link w:val="a9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b">
    <w:name w:val="annotation text"/>
    <w:basedOn w:val="a1"/>
    <w:link w:val="ac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C48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4"/>
    <w:next w:val="a6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3"/>
    <w:link w:val="af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2">
    <w:name w:val="Body Text"/>
    <w:basedOn w:val="a1"/>
    <w:link w:val="af3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2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1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3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4">
    <w:name w:val="Body Text Indent"/>
    <w:basedOn w:val="a1"/>
    <w:link w:val="af5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5">
    <w:name w:val="Основной текст с отступом Знак"/>
    <w:basedOn w:val="a3"/>
    <w:link w:val="af4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1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3"/>
    <w:link w:val="25"/>
    <w:rsid w:val="006C4840"/>
    <w:rPr>
      <w:rFonts w:ascii="Times New Roman" w:eastAsia="Calibri" w:hAnsi="Times New Roman" w:cs="Times New Roman"/>
    </w:rPr>
  </w:style>
  <w:style w:type="paragraph" w:styleId="af6">
    <w:name w:val="Subtitle"/>
    <w:basedOn w:val="a1"/>
    <w:next w:val="a1"/>
    <w:link w:val="af7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7">
    <w:name w:val="Подзаголовок Знак"/>
    <w:basedOn w:val="a3"/>
    <w:link w:val="af6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8">
    <w:name w:val="Знак"/>
    <w:basedOn w:val="a1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a">
    <w:name w:val="Plain Text"/>
    <w:basedOn w:val="a1"/>
    <w:link w:val="afb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b">
    <w:name w:val="Текст Знак"/>
    <w:basedOn w:val="a3"/>
    <w:link w:val="afa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c">
    <w:name w:val="List Paragraph"/>
    <w:basedOn w:val="a1"/>
    <w:link w:val="afd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e">
    <w:name w:val="Таблицы (моноширинный)"/>
    <w:basedOn w:val="a1"/>
    <w:next w:val="a1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1"/>
    <w:next w:val="a1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1"/>
    <w:next w:val="a1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f">
    <w:name w:val="TOC Heading"/>
    <w:basedOn w:val="10"/>
    <w:next w:val="a1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0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1">
    <w:name w:val="Normal (Web)"/>
    <w:basedOn w:val="a1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1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page number"/>
    <w:rsid w:val="006C4840"/>
  </w:style>
  <w:style w:type="paragraph" w:customStyle="1" w:styleId="111">
    <w:name w:val="заголовок 11"/>
    <w:basedOn w:val="a1"/>
    <w:next w:val="a1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4"/>
    <w:next w:val="a6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4"/>
    <w:next w:val="a6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1"/>
    <w:link w:val="aff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3"/>
    <w:link w:val="aff4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5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7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1"/>
    <w:next w:val="a2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2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1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1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9">
    <w:name w:val="Содержимое таблицы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Заголовок таблицы"/>
    <w:basedOn w:val="aff9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1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1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1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шрифт"/>
    <w:semiHidden/>
    <w:rsid w:val="006C4840"/>
  </w:style>
  <w:style w:type="paragraph" w:styleId="affc">
    <w:name w:val="Title"/>
    <w:basedOn w:val="a1"/>
    <w:link w:val="affd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Знак"/>
    <w:basedOn w:val="a3"/>
    <w:link w:val="affc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e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">
    <w:name w:val="_АБЗАЦ_"/>
    <w:basedOn w:val="a1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1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1"/>
    <w:next w:val="a1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1"/>
    <w:next w:val="a1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1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1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1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0">
    <w:name w:val="Содержимое врезки"/>
    <w:basedOn w:val="a2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1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3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Основной"/>
    <w:basedOn w:val="a1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1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2">
    <w:name w:val="Пункт"/>
    <w:basedOn w:val="a1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3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1"/>
    <w:next w:val="a1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1"/>
    <w:next w:val="a1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3"/>
    <w:uiPriority w:val="99"/>
    <w:semiHidden/>
    <w:rsid w:val="006C4840"/>
    <w:rPr>
      <w:lang w:eastAsia="ar-SA"/>
    </w:rPr>
  </w:style>
  <w:style w:type="paragraph" w:styleId="afff4">
    <w:name w:val="caption"/>
    <w:basedOn w:val="a1"/>
    <w:next w:val="a1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5">
    <w:name w:val="Текст концевой сноски Знак"/>
    <w:link w:val="afff6"/>
    <w:semiHidden/>
    <w:locked/>
    <w:rsid w:val="006C4840"/>
  </w:style>
  <w:style w:type="paragraph" w:styleId="afff6">
    <w:name w:val="endnote text"/>
    <w:basedOn w:val="a1"/>
    <w:link w:val="afff5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3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7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1"/>
    <w:link w:val="afff7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6C4840"/>
    <w:rPr>
      <w:b/>
      <w:bCs/>
    </w:rPr>
  </w:style>
  <w:style w:type="character" w:customStyle="1" w:styleId="afff9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1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Абзац списка Знак"/>
    <w:link w:val="afc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1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1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1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1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a">
    <w:name w:val="Основной абзац"/>
    <w:basedOn w:val="a1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b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c">
    <w:name w:val="Текст таблицы (по левому краю)"/>
    <w:basedOn w:val="a1"/>
    <w:link w:val="afffd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d">
    <w:name w:val="Текст таблицы (по левому краю) Знак"/>
    <w:link w:val="afffc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1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1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e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3"/>
    <w:uiPriority w:val="20"/>
    <w:qFormat/>
    <w:rsid w:val="006C4840"/>
    <w:rPr>
      <w:i/>
      <w:iCs/>
    </w:rPr>
  </w:style>
  <w:style w:type="paragraph" w:styleId="37">
    <w:name w:val="Body Text Indent 3"/>
    <w:basedOn w:val="a1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3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3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2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1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3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4"/>
    <w:next w:val="a6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5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4"/>
    <w:next w:val="a6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4043D1"/>
  </w:style>
  <w:style w:type="numbering" w:customStyle="1" w:styleId="43">
    <w:name w:val="Нет списка4"/>
    <w:next w:val="a5"/>
    <w:uiPriority w:val="99"/>
    <w:semiHidden/>
    <w:unhideWhenUsed/>
    <w:rsid w:val="004043D1"/>
  </w:style>
  <w:style w:type="table" w:customStyle="1" w:styleId="82">
    <w:name w:val="Сетка таблицы8"/>
    <w:basedOn w:val="a4"/>
    <w:next w:val="a6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Стиль3 Знак"/>
    <w:basedOn w:val="25"/>
    <w:rsid w:val="003C2BBD"/>
    <w:pPr>
      <w:widowControl w:val="0"/>
      <w:adjustRightInd w:val="0"/>
      <w:spacing w:after="0" w:line="240" w:lineRule="auto"/>
      <w:ind w:left="0"/>
    </w:pPr>
    <w:rPr>
      <w:rFonts w:ascii="Arial" w:eastAsia="Times New Roman" w:hAnsi="Arial"/>
      <w:sz w:val="24"/>
      <w:szCs w:val="24"/>
      <w:lang w:val="x-none" w:eastAsia="ru-RU"/>
    </w:rPr>
  </w:style>
  <w:style w:type="paragraph" w:customStyle="1" w:styleId="a0">
    <w:name w:val="Раздел"/>
    <w:semiHidden/>
    <w:rsid w:val="003C2BBD"/>
    <w:pPr>
      <w:numPr>
        <w:ilvl w:val="1"/>
        <w:numId w:val="2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f0">
    <w:name w:val="Стиль3"/>
    <w:rsid w:val="003C2BBD"/>
    <w:pPr>
      <w:widowControl w:val="0"/>
      <w:tabs>
        <w:tab w:val="left" w:pos="1127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f0">
    <w:name w:val="Основной текст_"/>
    <w:link w:val="3f1"/>
    <w:locked/>
    <w:rsid w:val="003C2BBD"/>
    <w:rPr>
      <w:b/>
      <w:bCs/>
      <w:spacing w:val="3"/>
      <w:sz w:val="18"/>
      <w:szCs w:val="18"/>
      <w:shd w:val="clear" w:color="auto" w:fill="FFFFFF"/>
    </w:rPr>
  </w:style>
  <w:style w:type="paragraph" w:customStyle="1" w:styleId="3f1">
    <w:name w:val="Основной текст3"/>
    <w:link w:val="affff0"/>
    <w:rsid w:val="003C2BBD"/>
    <w:pPr>
      <w:widowControl w:val="0"/>
      <w:shd w:val="clear" w:color="auto" w:fill="FFFFFF"/>
      <w:spacing w:after="0" w:line="254" w:lineRule="exact"/>
    </w:pPr>
    <w:rPr>
      <w:b/>
      <w:bCs/>
      <w:spacing w:val="3"/>
      <w:sz w:val="18"/>
      <w:szCs w:val="18"/>
    </w:rPr>
  </w:style>
  <w:style w:type="paragraph" w:customStyle="1" w:styleId="affff1">
    <w:name w:val="Текст таблицы"/>
    <w:rsid w:val="003C2BB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c">
    <w:name w:val="Текст Знак1"/>
    <w:basedOn w:val="a3"/>
    <w:uiPriority w:val="99"/>
    <w:semiHidden/>
    <w:rsid w:val="003C2BBD"/>
    <w:rPr>
      <w:rFonts w:ascii="Consolas" w:hAnsi="Consolas" w:cs="Consolas" w:hint="default"/>
      <w:sz w:val="21"/>
      <w:szCs w:val="21"/>
    </w:rPr>
  </w:style>
  <w:style w:type="character" w:customStyle="1" w:styleId="blk">
    <w:name w:val="blk"/>
    <w:basedOn w:val="a3"/>
    <w:rsid w:val="003C2BBD"/>
  </w:style>
  <w:style w:type="character" w:customStyle="1" w:styleId="1fd">
    <w:name w:val="Основной текст1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2">
    <w:name w:val="Основной текст + Не полужирный"/>
    <w:aliases w:val="Интервал 0 pt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numbering" w:customStyle="1" w:styleId="53">
    <w:name w:val="Нет списка5"/>
    <w:next w:val="a5"/>
    <w:uiPriority w:val="99"/>
    <w:semiHidden/>
    <w:unhideWhenUsed/>
    <w:rsid w:val="003C2BBD"/>
  </w:style>
  <w:style w:type="table" w:customStyle="1" w:styleId="90">
    <w:name w:val="Сетка таблицы9"/>
    <w:basedOn w:val="a4"/>
    <w:next w:val="a6"/>
    <w:uiPriority w:val="39"/>
    <w:rsid w:val="003C2BB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image" Target="media/image1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4B73-5C7B-45C2-9F16-618F294E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31</Pages>
  <Words>11957</Words>
  <Characters>68158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201</cp:revision>
  <cp:lastPrinted>2016-11-18T12:43:00Z</cp:lastPrinted>
  <dcterms:created xsi:type="dcterms:W3CDTF">2016-06-13T20:09:00Z</dcterms:created>
  <dcterms:modified xsi:type="dcterms:W3CDTF">2017-03-15T05:41:00Z</dcterms:modified>
</cp:coreProperties>
</file>